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5DBAA4" w14:textId="77777777" w:rsidR="00144CEE" w:rsidRDefault="00144CEE" w:rsidP="00144CEE">
      <w:pPr>
        <w:rPr>
          <w:rFonts w:ascii="Arial" w:hAnsi="Arial" w:cstheme="minorBidi"/>
          <w:color w:val="000000" w:themeColor="text1"/>
          <w:sz w:val="24"/>
        </w:rPr>
      </w:pPr>
    </w:p>
    <w:p w14:paraId="32CE13B9" w14:textId="77777777" w:rsidR="00144CEE" w:rsidRDefault="00144CEE" w:rsidP="00144CEE">
      <w:pPr>
        <w:rPr>
          <w:rFonts w:eastAsia="Times New Roman"/>
          <w:lang w:val="en-US" w:eastAsia="en-GB"/>
        </w:rPr>
      </w:pPr>
      <w:r>
        <w:rPr>
          <w:rFonts w:eastAsia="Times New Roman"/>
          <w:b/>
          <w:bCs/>
          <w:lang w:val="en-US" w:eastAsia="en-GB"/>
        </w:rPr>
        <w:t>From:</w:t>
      </w:r>
      <w:r>
        <w:rPr>
          <w:rFonts w:eastAsia="Times New Roman"/>
          <w:lang w:val="en-US" w:eastAsia="en-GB"/>
        </w:rPr>
        <w:t xml:space="preserve"> Fletcher, Rachel &lt;Rachel.Fletcher@HistoricEngland.org.uk&gt; </w:t>
      </w:r>
      <w:r>
        <w:rPr>
          <w:rFonts w:eastAsia="Times New Roman"/>
          <w:lang w:val="en-US" w:eastAsia="en-GB"/>
        </w:rPr>
        <w:br/>
      </w:r>
      <w:r>
        <w:rPr>
          <w:rFonts w:eastAsia="Times New Roman"/>
          <w:b/>
          <w:bCs/>
          <w:lang w:val="en-US" w:eastAsia="en-GB"/>
        </w:rPr>
        <w:t>Sent:</w:t>
      </w:r>
      <w:r>
        <w:rPr>
          <w:rFonts w:eastAsia="Times New Roman"/>
          <w:lang w:val="en-US" w:eastAsia="en-GB"/>
        </w:rPr>
        <w:t xml:space="preserve"> 14 November 2022 14:05</w:t>
      </w:r>
      <w:r>
        <w:rPr>
          <w:rFonts w:eastAsia="Times New Roman"/>
          <w:lang w:val="en-US" w:eastAsia="en-GB"/>
        </w:rPr>
        <w:br/>
      </w:r>
      <w:r>
        <w:rPr>
          <w:rFonts w:eastAsia="Times New Roman"/>
          <w:b/>
          <w:bCs/>
          <w:lang w:val="en-US" w:eastAsia="en-GB"/>
        </w:rPr>
        <w:t>To:</w:t>
      </w:r>
      <w:r>
        <w:rPr>
          <w:rFonts w:eastAsia="Times New Roman"/>
          <w:lang w:val="en-US" w:eastAsia="en-GB"/>
        </w:rPr>
        <w:t xml:space="preserve"> Hudson, Mary - Oxfordshire County Council &lt;Mary.Hudson@Oxfordshire.gov.uk&gt;</w:t>
      </w:r>
      <w:r>
        <w:rPr>
          <w:rFonts w:eastAsia="Times New Roman"/>
          <w:lang w:val="en-US" w:eastAsia="en-GB"/>
        </w:rPr>
        <w:br/>
      </w:r>
      <w:r>
        <w:rPr>
          <w:rFonts w:eastAsia="Times New Roman"/>
          <w:b/>
          <w:bCs/>
          <w:lang w:val="en-US" w:eastAsia="en-GB"/>
        </w:rPr>
        <w:t>Subject:</w:t>
      </w:r>
      <w:r>
        <w:rPr>
          <w:rFonts w:eastAsia="Times New Roman"/>
          <w:lang w:val="en-US" w:eastAsia="en-GB"/>
        </w:rPr>
        <w:t xml:space="preserve"> RE: Planning Application MW.0115/21 - Land at White Cross Farm, Wallingford FAO Mary Hudson</w:t>
      </w:r>
    </w:p>
    <w:p w14:paraId="26D77AA6" w14:textId="77777777" w:rsidR="00144CEE" w:rsidRDefault="00144CEE" w:rsidP="00144CEE"/>
    <w:p w14:paraId="3388EEFF" w14:textId="77777777" w:rsidR="00144CEE" w:rsidRDefault="00144CEE" w:rsidP="00144CEE"/>
    <w:p w14:paraId="27458B6C" w14:textId="77777777" w:rsidR="00144CEE" w:rsidRDefault="00144CEE" w:rsidP="00144CEE">
      <w:pPr>
        <w:shd w:val="clear" w:color="auto" w:fill="FFEB9C"/>
        <w:spacing w:line="240" w:lineRule="atLeast"/>
        <w:rPr>
          <w:color w:val="000000"/>
          <w:sz w:val="20"/>
          <w:szCs w:val="20"/>
          <w:lang w:eastAsia="en-GB"/>
        </w:rPr>
      </w:pPr>
      <w:r>
        <w:rPr>
          <w:b/>
          <w:bCs/>
          <w:color w:val="FF5733"/>
          <w:sz w:val="20"/>
          <w:szCs w:val="20"/>
          <w:lang w:eastAsia="en-GB"/>
        </w:rPr>
        <w:t>CAUTION:</w:t>
      </w:r>
      <w:r>
        <w:rPr>
          <w:color w:val="000000"/>
          <w:sz w:val="20"/>
          <w:szCs w:val="20"/>
          <w:lang w:eastAsia="en-GB"/>
        </w:rPr>
        <w:t xml:space="preserve"> This email originated from outside of the organisation. Do not click links or open attachments unless you recognise the sender and know the content is safe.</w:t>
      </w:r>
    </w:p>
    <w:p w14:paraId="32027F75" w14:textId="77777777" w:rsidR="00144CEE" w:rsidRDefault="00144CEE" w:rsidP="00144CEE">
      <w:r>
        <w:t>Dear Mary,</w:t>
      </w:r>
    </w:p>
    <w:p w14:paraId="24E08173" w14:textId="77777777" w:rsidR="00144CEE" w:rsidRDefault="00144CEE" w:rsidP="00144CEE"/>
    <w:p w14:paraId="53D2D95D" w14:textId="77777777" w:rsidR="00144CEE" w:rsidRDefault="00144CEE" w:rsidP="00144CEE">
      <w:r>
        <w:t>Thank you for getting back to Richard.</w:t>
      </w:r>
    </w:p>
    <w:p w14:paraId="5AE9B4A7" w14:textId="77777777" w:rsidR="00144CEE" w:rsidRDefault="00144CEE" w:rsidP="00144CEE"/>
    <w:p w14:paraId="52C44BC6" w14:textId="77777777" w:rsidR="00144CEE" w:rsidRDefault="00144CEE" w:rsidP="00144CEE">
      <w:r>
        <w:t>I note your advice regarding Part 2 as referenced in my letter and the need to determine the application based on the information available within the application.</w:t>
      </w:r>
    </w:p>
    <w:p w14:paraId="4F9BD45A" w14:textId="77777777" w:rsidR="00144CEE" w:rsidRDefault="00144CEE" w:rsidP="00144CEE"/>
    <w:p w14:paraId="282E7057" w14:textId="77777777" w:rsidR="00144CEE" w:rsidRDefault="00144CEE" w:rsidP="00144CEE">
      <w:r>
        <w:t>Therefore, my advice is that the proposals would result in some temporary harm to the listed buildings, for the duration of the mineral extraction operation. Beyond the extraction period, the proposed landscape reinstatement would provide a setting that would have a neutral impact on the significance of the listed buildings.</w:t>
      </w:r>
    </w:p>
    <w:p w14:paraId="189885CF" w14:textId="77777777" w:rsidR="00144CEE" w:rsidRDefault="00144CEE" w:rsidP="00144CEE"/>
    <w:p w14:paraId="2E5225A0" w14:textId="77777777" w:rsidR="00144CEE" w:rsidRDefault="00144CEE" w:rsidP="00144CEE">
      <w:r>
        <w:t>Therefore, it is for the Council to determine if, in accordance with paragraph 200, the temporary harm to the listed buildings is justified and if it is whether the public benefits outweigh this harm, as set out at paragraph 201.</w:t>
      </w:r>
    </w:p>
    <w:p w14:paraId="207A3348" w14:textId="77777777" w:rsidR="00144CEE" w:rsidRDefault="00144CEE" w:rsidP="00144CEE"/>
    <w:p w14:paraId="0B0E27ED" w14:textId="77777777" w:rsidR="00144CEE" w:rsidRDefault="00144CEE" w:rsidP="00144CEE">
      <w:r>
        <w:t>Best regards,</w:t>
      </w:r>
    </w:p>
    <w:p w14:paraId="391E6F9D" w14:textId="77777777" w:rsidR="00144CEE" w:rsidRDefault="00144CEE" w:rsidP="00144CEE"/>
    <w:p w14:paraId="5FAC9C92" w14:textId="77777777" w:rsidR="00144CEE" w:rsidRDefault="00144CEE" w:rsidP="00144CEE">
      <w:r>
        <w:t>Rachel</w:t>
      </w:r>
    </w:p>
    <w:p w14:paraId="7BFF7244" w14:textId="77777777" w:rsidR="00144CEE" w:rsidRDefault="00144CEE" w:rsidP="00144CEE"/>
    <w:p w14:paraId="11CF83C1" w14:textId="77777777" w:rsidR="00144CEE" w:rsidRDefault="00144CEE" w:rsidP="00144CEE">
      <w:pPr>
        <w:rPr>
          <w:b/>
          <w:bCs/>
          <w:color w:val="595959"/>
          <w:lang w:eastAsia="en-GB"/>
        </w:rPr>
      </w:pPr>
      <w:r>
        <w:rPr>
          <w:b/>
          <w:bCs/>
          <w:color w:val="595959"/>
          <w:lang w:eastAsia="en-GB"/>
        </w:rPr>
        <w:t xml:space="preserve">Rachel Fletcher </w:t>
      </w:r>
      <w:r>
        <w:rPr>
          <w:color w:val="595959"/>
          <w:lang w:eastAsia="en-GB"/>
        </w:rPr>
        <w:t>(she/her)</w:t>
      </w:r>
    </w:p>
    <w:p w14:paraId="60FE5010" w14:textId="77777777" w:rsidR="00144CEE" w:rsidRDefault="00144CEE" w:rsidP="00144CEE">
      <w:pPr>
        <w:rPr>
          <w:color w:val="595959"/>
          <w:lang w:eastAsia="en-GB"/>
        </w:rPr>
      </w:pPr>
      <w:r>
        <w:rPr>
          <w:color w:val="595959"/>
          <w:lang w:eastAsia="en-GB"/>
        </w:rPr>
        <w:t>Inspector of Historic Buildings and Areas</w:t>
      </w:r>
    </w:p>
    <w:p w14:paraId="1752648F" w14:textId="77777777" w:rsidR="00144CEE" w:rsidRDefault="00144CEE" w:rsidP="00144CEE">
      <w:pPr>
        <w:rPr>
          <w:b/>
          <w:bCs/>
          <w:color w:val="595959"/>
          <w:lang w:eastAsia="en-GB"/>
        </w:rPr>
      </w:pPr>
      <w:r>
        <w:rPr>
          <w:color w:val="595959"/>
          <w:lang w:eastAsia="en-GB"/>
        </w:rPr>
        <w:t xml:space="preserve">Tel: </w:t>
      </w:r>
      <w:r>
        <w:rPr>
          <w:b/>
          <w:bCs/>
          <w:color w:val="595959"/>
          <w:lang w:eastAsia="en-GB"/>
        </w:rPr>
        <w:t>07880 244585</w:t>
      </w:r>
    </w:p>
    <w:p w14:paraId="4EE88742" w14:textId="77777777" w:rsidR="00144CEE" w:rsidRDefault="00144CEE" w:rsidP="00144CEE"/>
    <w:p w14:paraId="4999C97D" w14:textId="77777777" w:rsidR="00144CEE" w:rsidRDefault="00144CEE" w:rsidP="00144CEE"/>
    <w:p w14:paraId="126B4317" w14:textId="77777777" w:rsidR="00FD3A85" w:rsidRPr="00504E43" w:rsidRDefault="00FD3A85"/>
    <w:sectPr w:rsidR="00FD3A85" w:rsidRPr="00504E4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CEE"/>
    <w:rsid w:val="000B4310"/>
    <w:rsid w:val="00144CEE"/>
    <w:rsid w:val="004000D7"/>
    <w:rsid w:val="00504E43"/>
    <w:rsid w:val="00535B83"/>
    <w:rsid w:val="007908F4"/>
    <w:rsid w:val="00EF7E94"/>
    <w:rsid w:val="00FD3A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9A2C4"/>
  <w15:chartTrackingRefBased/>
  <w15:docId w15:val="{5DE8DF0C-18E9-496E-8397-5E590CF0D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4CEE"/>
    <w:rPr>
      <w:rFonts w:ascii="Calibri" w:hAnsi="Calibri"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2524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198</Words>
  <Characters>1133</Characters>
  <Application>Microsoft Office Word</Application>
  <DocSecurity>0</DocSecurity>
  <Lines>9</Lines>
  <Paragraphs>2</Paragraphs>
  <ScaleCrop>false</ScaleCrop>
  <Company/>
  <LinksUpToDate>false</LinksUpToDate>
  <CharactersWithSpaces>1329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Hudson, Mary - Oxfordshire County Council</dc:creator>
  <cp:keywords/>
  <dc:description/>
  <cp:lastModifiedBy>Jack Chamberlain</cp:lastModifiedBy>
  <cp:revision>2</cp:revision>
  <dcterms:created xsi:type="dcterms:W3CDTF">2025-02-14T15:13:00Z</dcterms:created>
  <dcterms:modified xsi:type="dcterms:W3CDTF">2025-02-14T15:13:00Z</dcterms:modified>
</cp:coreProperties>
</file>